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 xml:space="preserve">PROCÉS DE SELECCIÓ </w:t>
      </w:r>
      <w:r w:rsidR="00D224ED">
        <w:rPr>
          <w:rFonts w:ascii="Arial" w:hAnsi="Arial" w:cs="Arial"/>
          <w:b/>
          <w:sz w:val="21"/>
          <w:szCs w:val="21"/>
        </w:rPr>
        <w:t>PER COBRIR UN LLOC D’EDUCADOR/A PER L’ESCOLA BRESSOL MUNICIPAL EL RODO, GRUP C1, MITJANÇANT CONCURS OPOSICIÓ, I LA CONSTITUCIÓ D’UNA BORSA DE TREBALL.</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3F4A04" w:rsidP="00B7505A">
      <w:pPr>
        <w:ind w:left="-284"/>
        <w:jc w:val="both"/>
        <w:rPr>
          <w:rFonts w:ascii="Arial" w:hAnsi="Arial"/>
          <w:i/>
        </w:rPr>
      </w:pPr>
      <w:r w:rsidRPr="003F4A04">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F4A04" w:rsidP="000A51B4">
      <w:pPr>
        <w:tabs>
          <w:tab w:val="left" w:pos="8080"/>
        </w:tabs>
        <w:ind w:left="-1843" w:right="454"/>
        <w:jc w:val="both"/>
        <w:rPr>
          <w:rFonts w:ascii="Arial" w:hAnsi="Arial" w:cs="Arial"/>
          <w:b/>
        </w:rPr>
      </w:pPr>
      <w:r w:rsidRPr="003F4A04">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3F4A04" w:rsidP="003C79A2">
      <w:pPr>
        <w:ind w:left="-1843" w:right="453"/>
        <w:jc w:val="both"/>
        <w:rPr>
          <w:rFonts w:ascii="Arial" w:hAnsi="Arial" w:cs="Arial"/>
          <w:b/>
        </w:rPr>
      </w:pPr>
      <w:r w:rsidRPr="003F4A04">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3F4A04" w:rsidP="00370A5A">
      <w:pPr>
        <w:ind w:left="-1843" w:right="453"/>
        <w:jc w:val="both"/>
        <w:rPr>
          <w:rFonts w:ascii="Arial" w:hAnsi="Arial" w:cs="Arial"/>
          <w:noProof/>
          <w:sz w:val="18"/>
          <w:szCs w:val="18"/>
          <w:lang w:val="es-ES" w:eastAsia="es-ES"/>
        </w:rPr>
      </w:pPr>
      <w:r w:rsidRPr="003F4A04">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3F4A04" w:rsidRPr="003F4A04">
            <w:rPr>
              <w:sz w:val="18"/>
              <w:szCs w:val="18"/>
            </w:rPr>
            <w:fldChar w:fldCharType="begin"/>
          </w:r>
          <w:r w:rsidRPr="009C5BE7">
            <w:rPr>
              <w:sz w:val="18"/>
              <w:szCs w:val="18"/>
            </w:rPr>
            <w:instrText>PAGE  \* MERGEFORMAT</w:instrText>
          </w:r>
          <w:r w:rsidR="003F4A04" w:rsidRPr="003F4A04">
            <w:rPr>
              <w:sz w:val="18"/>
              <w:szCs w:val="18"/>
            </w:rPr>
            <w:fldChar w:fldCharType="separate"/>
          </w:r>
          <w:r w:rsidR="00D224ED" w:rsidRPr="00D224ED">
            <w:rPr>
              <w:rFonts w:asciiTheme="majorHAnsi" w:eastAsiaTheme="majorEastAsia" w:hAnsiTheme="majorHAnsi" w:cstheme="majorBidi"/>
              <w:b/>
              <w:bCs/>
              <w:noProof/>
              <w:sz w:val="18"/>
              <w:szCs w:val="18"/>
            </w:rPr>
            <w:t>3</w:t>
          </w:r>
          <w:r w:rsidR="003F4A04"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B2EE-0F68-4AE5-B48B-735DB2DD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435</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2022-12-22T09:36:00Z</dcterms:created>
  <dcterms:modified xsi:type="dcterms:W3CDTF">2022-12-22T09:51:00Z</dcterms:modified>
</cp:coreProperties>
</file>